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A2" w:rsidRPr="008C6906" w:rsidRDefault="00F03F01" w:rsidP="00AA5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906">
        <w:rPr>
          <w:rFonts w:ascii="Times New Roman" w:hAnsi="Times New Roman" w:cs="Times New Roman"/>
          <w:b/>
          <w:bCs/>
          <w:sz w:val="24"/>
          <w:szCs w:val="24"/>
        </w:rPr>
        <w:t>Экспертные карты МГК. 2016-2017 у/г.</w:t>
      </w:r>
    </w:p>
    <w:p w:rsidR="006D2DA2" w:rsidRPr="008C6906" w:rsidRDefault="00F03F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906">
        <w:rPr>
          <w:rFonts w:ascii="Times New Roman" w:hAnsi="Times New Roman" w:cs="Times New Roman"/>
          <w:b/>
          <w:bCs/>
          <w:sz w:val="24"/>
          <w:szCs w:val="24"/>
        </w:rPr>
        <w:t>Гуманитарное направление.</w:t>
      </w:r>
    </w:p>
    <w:p w:rsidR="006D2DA2" w:rsidRPr="008C6906" w:rsidRDefault="00F03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D2DA2" w:rsidRPr="008C6906" w:rsidRDefault="00F03F01">
      <w:pPr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 xml:space="preserve">Основной задачей проектной и учебно-исследовательской деятельности в соответствии с новыми Федеральными государственными образовательными стандартами является развитие </w:t>
      </w:r>
      <w:r w:rsidR="008C6906" w:rsidRPr="008C6906">
        <w:rPr>
          <w:rFonts w:ascii="Times New Roman" w:hAnsi="Times New Roman" w:cs="Times New Roman"/>
          <w:sz w:val="24"/>
          <w:szCs w:val="24"/>
        </w:rPr>
        <w:t>у обучающихся навыков познавательной, учебно-исследовательской и проектной деятельности, разрешения проблем; способности и готовность к самостоятельному поиску методов решения практических задач, применению различных методов познания</w:t>
      </w:r>
      <w:r w:rsidR="00AA54BD">
        <w:rPr>
          <w:rFonts w:ascii="Times New Roman" w:hAnsi="Times New Roman" w:cs="Times New Roman"/>
          <w:sz w:val="24"/>
          <w:szCs w:val="24"/>
        </w:rPr>
        <w:t xml:space="preserve"> </w:t>
      </w:r>
      <w:r w:rsidR="008C6906" w:rsidRPr="008C6906">
        <w:rPr>
          <w:rFonts w:ascii="Times New Roman" w:hAnsi="Times New Roman" w:cs="Times New Roman"/>
          <w:sz w:val="24"/>
          <w:szCs w:val="24"/>
        </w:rPr>
        <w:t>(3, ФГОС с изменениями</w:t>
      </w:r>
      <w:r w:rsidR="008C6906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8C6906">
          <w:rPr>
            <w:rStyle w:val="Hyperlink0"/>
            <w:rFonts w:ascii="Times New Roman" w:hAnsi="Times New Roman" w:cs="Times New Roman"/>
            <w:sz w:val="24"/>
            <w:szCs w:val="24"/>
          </w:rPr>
          <w:t>http://ipk.zabedu.ru/images/FGOS</w:t>
        </w:r>
      </w:hyperlink>
      <w:r w:rsidRPr="008C6906">
        <w:rPr>
          <w:rFonts w:ascii="Times New Roman" w:hAnsi="Times New Roman" w:cs="Times New Roman"/>
          <w:sz w:val="24"/>
          <w:szCs w:val="24"/>
        </w:rPr>
        <w:t xml:space="preserve"> </w:t>
      </w:r>
      <w:r w:rsidRPr="00AA54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 xml:space="preserve">Основная  задача конкурса проектных и исследовательских работ - диагностировать педагогические результаты совместной работы педагога и ученика над исследованием или проектом: умение сформулировать тему проекта или исследования, выдвинуть первоначальную гипотезу (если необходимо),  разработать план, скорректировать (опровергнуть),  обосновать свои выводы, представить результаты своего поиска. 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Работа с экспертными картами предполагает четкое различение терминов «конкурс» и «конференция»</w:t>
      </w:r>
      <w:r w:rsidRPr="008C690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8C69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 xml:space="preserve">Конкурс - это прежде всего соревнование, где определяются победители, тогда как конференция - это обсуждение тех или иных проблем, где участники высказывают свое мнение, ищут единые подходы или обосновывают наличие собственной позиции.  В силу указанных различий принципиально отличается и организация деятельности школьников в рамках этих мероприятий. 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 xml:space="preserve">На конкурсе должны быть предъявлены требования к оценке качества работы, тогда как на конференции задаются определенные </w:t>
      </w:r>
      <w:r w:rsidR="00EC7E0B" w:rsidRPr="00EC7E0B">
        <w:rPr>
          <w:rFonts w:ascii="Times New Roman" w:hAnsi="Times New Roman" w:cs="Times New Roman"/>
          <w:sz w:val="24"/>
          <w:szCs w:val="24"/>
        </w:rPr>
        <w:t xml:space="preserve">рамки  оценивания публичного вступления, </w:t>
      </w:r>
      <w:r w:rsidRPr="008C6906">
        <w:rPr>
          <w:rFonts w:ascii="Times New Roman" w:hAnsi="Times New Roman" w:cs="Times New Roman"/>
          <w:sz w:val="24"/>
          <w:szCs w:val="24"/>
        </w:rPr>
        <w:t xml:space="preserve">логико-практического обоснования той или иной позиции. 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Различаться может и завершение этих форм образовательной и творческой работы: если конкурс завершается списком победителей и призеров, а иногда и рейтингом участников, то конференция предполагает публикацию материалов всех участников либо наиболее значимых из них</w:t>
      </w:r>
      <w:r w:rsidRPr="008C6906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8C69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 xml:space="preserve">Экспертиза представленных на конкурс работ включает  заочный и очный этапы. 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b/>
          <w:bCs/>
          <w:sz w:val="24"/>
          <w:szCs w:val="24"/>
        </w:rPr>
        <w:t>Заочный этап</w:t>
      </w:r>
      <w:r w:rsidRPr="008C6906">
        <w:rPr>
          <w:rFonts w:ascii="Times New Roman" w:hAnsi="Times New Roman" w:cs="Times New Roman"/>
          <w:sz w:val="24"/>
          <w:szCs w:val="24"/>
        </w:rPr>
        <w:t xml:space="preserve"> дает информацию о качестве представленной работы: </w:t>
      </w:r>
      <w:r w:rsidR="00EC7E0B" w:rsidRPr="00EC7E0B">
        <w:rPr>
          <w:rFonts w:ascii="Times New Roman" w:hAnsi="Times New Roman" w:cs="Times New Roman"/>
          <w:sz w:val="24"/>
          <w:szCs w:val="24"/>
        </w:rPr>
        <w:t>соответствует содержания заявленной теме, владение навыками  обработки информации</w:t>
      </w:r>
      <w:r w:rsidR="00EC7E0B">
        <w:rPr>
          <w:rFonts w:ascii="Times New Roman" w:hAnsi="Times New Roman" w:cs="Times New Roman"/>
          <w:sz w:val="24"/>
          <w:szCs w:val="24"/>
        </w:rPr>
        <w:t xml:space="preserve"> и структурирования материала. </w:t>
      </w:r>
      <w:r w:rsidRPr="008C6906">
        <w:rPr>
          <w:rFonts w:ascii="Times New Roman" w:hAnsi="Times New Roman" w:cs="Times New Roman"/>
          <w:sz w:val="24"/>
          <w:szCs w:val="24"/>
        </w:rPr>
        <w:t>На заочном этапе перед экспертами НЕ стоит задача  определить степень самостоятельности участника, как именно распределены были роли педагога и ученика в коллективно-распределенной деятельности. (для экспертизы используются карты. Приложение № 1)</w:t>
      </w:r>
      <w:r w:rsidRPr="008C69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6906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8C6906">
        <w:rPr>
          <w:rFonts w:ascii="Times New Roman" w:hAnsi="Times New Roman" w:cs="Times New Roman"/>
          <w:sz w:val="24"/>
          <w:szCs w:val="24"/>
        </w:rPr>
        <w:t>.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 xml:space="preserve">На </w:t>
      </w:r>
      <w:r w:rsidRPr="008C6906">
        <w:rPr>
          <w:rFonts w:ascii="Times New Roman" w:hAnsi="Times New Roman" w:cs="Times New Roman"/>
          <w:b/>
          <w:bCs/>
          <w:sz w:val="24"/>
          <w:szCs w:val="24"/>
        </w:rPr>
        <w:t>очном этапе</w:t>
      </w:r>
      <w:r w:rsidRPr="008C6906">
        <w:rPr>
          <w:rFonts w:ascii="Times New Roman" w:hAnsi="Times New Roman" w:cs="Times New Roman"/>
          <w:sz w:val="24"/>
          <w:szCs w:val="24"/>
        </w:rPr>
        <w:t xml:space="preserve"> перед экспертами стоит задача диагностировать уровень реального владения учеником необходимыми метапредметными и предметными, исследовательскими</w:t>
      </w:r>
      <w:r w:rsidR="00EC7E0B">
        <w:rPr>
          <w:rFonts w:ascii="Times New Roman" w:hAnsi="Times New Roman" w:cs="Times New Roman"/>
          <w:sz w:val="24"/>
          <w:szCs w:val="24"/>
        </w:rPr>
        <w:t xml:space="preserve"> и</w:t>
      </w:r>
      <w:r w:rsidRPr="008C6906">
        <w:rPr>
          <w:rFonts w:ascii="Times New Roman" w:hAnsi="Times New Roman" w:cs="Times New Roman"/>
          <w:sz w:val="24"/>
          <w:szCs w:val="24"/>
        </w:rPr>
        <w:t xml:space="preserve"> проектными компетенциями, оценить степень его личной активности, самостоятельности при выполнении проектной или исследовательской работы</w:t>
      </w:r>
      <w:r w:rsidRPr="008C690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8C6906">
        <w:rPr>
          <w:rFonts w:ascii="Times New Roman" w:hAnsi="Times New Roman" w:cs="Times New Roman"/>
          <w:sz w:val="24"/>
          <w:szCs w:val="24"/>
        </w:rPr>
        <w:t>. Эксперты должны помнить, что оценивая материалы исследования, они, как правило, сталкиваются с основным продуктом работы, а, оценивая материалы проекта, часто сталкиваются лишь с «проектной документацией» (для  экспертизы используются карты. Приложение № 1).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lastRenderedPageBreak/>
        <w:t>Опыт показывает, что общение с  участником конкурса, анализ его ответов на вопросы,  дает эксперту возможность услышать описание  процесса работы и определить, что школьник  понял в своем исследовании. Однако это общение не позволяет диагностировать способность делать самостоятельные шаги без руководства педагога. Практически  проверяется,  «как сделана домашняя работа», а  нужно проверить уровень сформированности исследовательских</w:t>
      </w:r>
      <w:r w:rsidR="00EC7E0B">
        <w:rPr>
          <w:rFonts w:ascii="Times New Roman" w:hAnsi="Times New Roman" w:cs="Times New Roman"/>
          <w:sz w:val="24"/>
          <w:szCs w:val="24"/>
        </w:rPr>
        <w:t xml:space="preserve"> и </w:t>
      </w:r>
      <w:r w:rsidRPr="008C6906">
        <w:rPr>
          <w:rFonts w:ascii="Times New Roman" w:hAnsi="Times New Roman" w:cs="Times New Roman"/>
          <w:sz w:val="24"/>
          <w:szCs w:val="24"/>
        </w:rPr>
        <w:t xml:space="preserve">проектных компетенций (требования ФГОС). </w:t>
      </w:r>
      <w:r w:rsidRPr="008C6906">
        <w:rPr>
          <w:rFonts w:ascii="Times New Roman" w:hAnsi="Times New Roman" w:cs="Times New Roman"/>
          <w:b/>
          <w:bCs/>
          <w:sz w:val="24"/>
          <w:szCs w:val="24"/>
        </w:rPr>
        <w:t>Это можно сделать только при столкновении с ранее не известным  материалом или  неизвестными заданиями.</w:t>
      </w:r>
      <w:r w:rsidRPr="008C69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В данных методических рекомендациях предложены ВАРИАНТЫ таких заданий:  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 «Биография моей работы».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 «Ответ рецензенту».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 «Мини-исследование или эссе по выбору».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В каждом из этих заданий в разной форме решается общая задача прямого побуждения школьника к анализу всего процесса своей работы над исследованием/проектом, результатов представленной работы или выявления сложившихся у школьника общих и частных компетенций относительно проделанной работы. Так, в «Биографии работы» следует показать именно исследовательскую, а не событийную историю работы. В «Ответе рецензенту» необходимо найти дополнительные обоснования, факты, доводы для утверждения своих позиций и результатов. В «Мини-исследовании или эссе» задача заключается в выявлении сложившихся компетенций на принципиально новом материале.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 xml:space="preserve">Участники получают  все материалы при регистрации и не знают  заранее их содержание. Регламент проведения предполагает, что у них есть время </w:t>
      </w:r>
      <w:r w:rsidR="00F830E6">
        <w:rPr>
          <w:rFonts w:ascii="Times New Roman" w:hAnsi="Times New Roman" w:cs="Times New Roman"/>
          <w:sz w:val="24"/>
          <w:szCs w:val="24"/>
        </w:rPr>
        <w:t>(</w:t>
      </w:r>
      <w:r w:rsidRPr="008C6906">
        <w:rPr>
          <w:rFonts w:ascii="Times New Roman" w:hAnsi="Times New Roman" w:cs="Times New Roman"/>
          <w:sz w:val="24"/>
          <w:szCs w:val="24"/>
        </w:rPr>
        <w:t xml:space="preserve">2 часа)   обдуманно подготовить  письменный ответ или рассказ.  Только после  этого  эксперты знакомятся с этим  текстом и переходят к очному общению.  Подчеркнем, что предметом беседы экспертов с авторами являются  ответы на задания, выполненные «здесь и сейчас».  Эксперты (на основе  специальной карты) определяют степень понимания автором  логики своей работы, соответствия  методов целям и задачам, значения и границ полученных результатов и т. д., могут  задать  вопросы с целью понять, почему автор исследования выбрал именно такой ответ рецензенту, и даже предложить участникам вернуться в начало пути («Биография работы»), чтобы убедиться в способности юного исследователя самостоятельно находить «выход» из любой точки своего исследования. </w:t>
      </w:r>
    </w:p>
    <w:p w:rsidR="006D2DA2" w:rsidRPr="008C6906" w:rsidRDefault="00F03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 xml:space="preserve">С нашей точки зрения, такой формат проведения конкурса позволит педагогам, руководителям исследований четче сформулировать педагогический результат своей деятельности. Они должны не только уметь «проводить» ученика в «зону нового/неизвестного», но и научить его уверенной рефлексии этого движения. </w:t>
      </w:r>
    </w:p>
    <w:p w:rsidR="006D2DA2" w:rsidRDefault="006D2DA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AA54BD" w:rsidRDefault="00AA54B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D2DA2" w:rsidRPr="008C6906" w:rsidRDefault="006D2DA2" w:rsidP="008C69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2DA2" w:rsidRPr="008C6906" w:rsidSect="006F227F">
      <w:headerReference w:type="default" r:id="rId7"/>
      <w:footerReference w:type="default" r:id="rId8"/>
      <w:pgSz w:w="14580" w:h="15840"/>
      <w:pgMar w:top="1134" w:right="1576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6E" w:rsidRDefault="00EC596E">
      <w:pPr>
        <w:spacing w:after="0" w:line="240" w:lineRule="auto"/>
      </w:pPr>
      <w:r>
        <w:separator/>
      </w:r>
    </w:p>
  </w:endnote>
  <w:endnote w:type="continuationSeparator" w:id="0">
    <w:p w:rsidR="00EC596E" w:rsidRDefault="00EC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A2" w:rsidRDefault="006D2DA2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6E" w:rsidRDefault="00EC596E">
      <w:r>
        <w:separator/>
      </w:r>
    </w:p>
  </w:footnote>
  <w:footnote w:type="continuationSeparator" w:id="0">
    <w:p w:rsidR="00EC596E" w:rsidRDefault="00EC596E">
      <w:r>
        <w:continuationSeparator/>
      </w:r>
    </w:p>
  </w:footnote>
  <w:footnote w:type="continuationNotice" w:id="1">
    <w:p w:rsidR="00EC596E" w:rsidRDefault="00EC596E"/>
  </w:footnote>
  <w:footnote w:id="2">
    <w:p w:rsidR="006D2DA2" w:rsidRDefault="00F03F01">
      <w:pPr>
        <w:pStyle w:val="FootnoteText"/>
      </w:pPr>
      <w:r>
        <w:rPr>
          <w:vertAlign w:val="superscript"/>
        </w:rPr>
        <w:footnoteRef/>
      </w:r>
      <w:r>
        <w:t xml:space="preserve"> Традиция прошлых лет (и в Москве, и в других регионах) часто построена на соединении (смешении?) этих двух форматов: мероприятие называлось конференцией, но часто предусматривало конкурсные процедуры.</w:t>
      </w:r>
    </w:p>
  </w:footnote>
  <w:footnote w:id="3">
    <w:p w:rsidR="006D2DA2" w:rsidRDefault="00F03F01">
      <w:pPr>
        <w:pStyle w:val="FootnoteText"/>
      </w:pPr>
      <w:r>
        <w:rPr>
          <w:vertAlign w:val="superscript"/>
        </w:rPr>
        <w:footnoteRef/>
      </w:r>
      <w:r>
        <w:t xml:space="preserve"> С педагогической точки зрения важны оба подхода, трудности возникают при их непродуманном смешении.</w:t>
      </w:r>
    </w:p>
  </w:footnote>
  <w:footnote w:id="4">
    <w:p w:rsidR="006D2DA2" w:rsidRDefault="00F03F01">
      <w:pPr>
        <w:pStyle w:val="FootnoteText"/>
      </w:pPr>
      <w:r>
        <w:rPr>
          <w:vertAlign w:val="superscript"/>
        </w:rPr>
        <w:footnoteRef/>
      </w:r>
      <w:r>
        <w:t xml:space="preserve"> На очный этап вышли работы набравшее 18-20 баллов (из 20).</w:t>
      </w:r>
    </w:p>
  </w:footnote>
  <w:footnote w:id="5">
    <w:p w:rsidR="006D2DA2" w:rsidRDefault="00F03F01">
      <w:pPr>
        <w:pStyle w:val="FootnoteText"/>
      </w:pPr>
      <w:r>
        <w:rPr>
          <w:vertAlign w:val="superscript"/>
        </w:rPr>
        <w:footnoteRef/>
      </w:r>
      <w:r>
        <w:t xml:space="preserve"> В 2015-2016 году заочную экспертизу прошли около 1200 работ гуманитарного направления (участников было больше), на очный этап вышло 10%.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A2" w:rsidRDefault="006D2DA2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2"/>
    <w:rsid w:val="00044787"/>
    <w:rsid w:val="00153B91"/>
    <w:rsid w:val="001A16ED"/>
    <w:rsid w:val="002452B8"/>
    <w:rsid w:val="002859D5"/>
    <w:rsid w:val="003378EE"/>
    <w:rsid w:val="003C2D1F"/>
    <w:rsid w:val="003E200B"/>
    <w:rsid w:val="004B1273"/>
    <w:rsid w:val="004C7397"/>
    <w:rsid w:val="005D51E8"/>
    <w:rsid w:val="006245A9"/>
    <w:rsid w:val="00636A5B"/>
    <w:rsid w:val="006824E9"/>
    <w:rsid w:val="006D0D93"/>
    <w:rsid w:val="006D2DA2"/>
    <w:rsid w:val="006F227F"/>
    <w:rsid w:val="00762CFE"/>
    <w:rsid w:val="008252A3"/>
    <w:rsid w:val="0088176B"/>
    <w:rsid w:val="00884957"/>
    <w:rsid w:val="008C6906"/>
    <w:rsid w:val="0098128B"/>
    <w:rsid w:val="00986CD3"/>
    <w:rsid w:val="00A66EFD"/>
    <w:rsid w:val="00AA54BD"/>
    <w:rsid w:val="00AF7B59"/>
    <w:rsid w:val="00B00D32"/>
    <w:rsid w:val="00B60D1E"/>
    <w:rsid w:val="00CC0F66"/>
    <w:rsid w:val="00CF0E9E"/>
    <w:rsid w:val="00DB232A"/>
    <w:rsid w:val="00EA7C51"/>
    <w:rsid w:val="00EC596E"/>
    <w:rsid w:val="00EC7E0B"/>
    <w:rsid w:val="00F02B10"/>
    <w:rsid w:val="00F03F01"/>
    <w:rsid w:val="00F200C2"/>
    <w:rsid w:val="00F830E6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8DC60-A046-4545-B465-4404DE63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27F"/>
    <w:pPr>
      <w:spacing w:after="200" w:line="276" w:lineRule="auto"/>
      <w:ind w:firstLine="709"/>
      <w:jc w:val="both"/>
    </w:pPr>
    <w:rPr>
      <w:rFonts w:ascii="Arial Unicode MS" w:hAnsi="Arial Unicode MS" w:cs="Arial Unicode MS"/>
      <w:color w:val="000000"/>
      <w:sz w:val="28"/>
      <w:szCs w:val="28"/>
      <w:u w:color="000000"/>
      <w:lang w:eastAsia="en-US"/>
    </w:rPr>
  </w:style>
  <w:style w:type="paragraph" w:styleId="Heading2">
    <w:name w:val="heading 2"/>
    <w:next w:val="Normal"/>
    <w:rsid w:val="006F227F"/>
    <w:pPr>
      <w:keepNext/>
      <w:keepLines/>
      <w:spacing w:before="200" w:line="276" w:lineRule="auto"/>
      <w:ind w:firstLine="709"/>
      <w:jc w:val="both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Heading3">
    <w:name w:val="heading 3"/>
    <w:next w:val="Normal"/>
    <w:rsid w:val="006F227F"/>
    <w:pPr>
      <w:keepNext/>
      <w:keepLines/>
      <w:spacing w:before="200" w:line="276" w:lineRule="auto"/>
      <w:ind w:firstLine="709"/>
      <w:jc w:val="both"/>
      <w:outlineLvl w:val="2"/>
    </w:pPr>
    <w:rPr>
      <w:rFonts w:ascii="Cambria" w:eastAsia="Cambria" w:hAnsi="Cambria" w:cs="Cambria"/>
      <w:b/>
      <w:bCs/>
      <w:color w:val="4F81BD"/>
      <w:sz w:val="28"/>
      <w:szCs w:val="28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227F"/>
    <w:rPr>
      <w:u w:val="single"/>
    </w:rPr>
  </w:style>
  <w:style w:type="table" w:customStyle="1" w:styleId="TableNormal1">
    <w:name w:val="Table Normal1"/>
    <w:rsid w:val="006F2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Верхн./нижн. кол."/>
    <w:rsid w:val="006F227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0">
    <w:name w:val="Ссылка"/>
    <w:rsid w:val="006F227F"/>
    <w:rPr>
      <w:color w:val="0000FF"/>
      <w:u w:val="single" w:color="0000FF"/>
    </w:rPr>
  </w:style>
  <w:style w:type="character" w:customStyle="1" w:styleId="Hyperlink0">
    <w:name w:val="Hyperlink.0"/>
    <w:basedOn w:val="a0"/>
    <w:rsid w:val="006F227F"/>
    <w:rPr>
      <w:color w:val="0000FF"/>
      <w:u w:val="single" w:color="0000FF"/>
    </w:rPr>
  </w:style>
  <w:style w:type="paragraph" w:styleId="FootnoteText">
    <w:name w:val="footnote text"/>
    <w:rsid w:val="006F227F"/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k.zabedu.ru/images/FG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Evgeniy Roginskiy</cp:lastModifiedBy>
  <cp:revision>3</cp:revision>
  <dcterms:created xsi:type="dcterms:W3CDTF">2017-01-24T18:15:00Z</dcterms:created>
  <dcterms:modified xsi:type="dcterms:W3CDTF">2017-01-24T18:22:00Z</dcterms:modified>
</cp:coreProperties>
</file>